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8A987F" w14:textId="7B5A0D76" w:rsidR="000232BD" w:rsidRDefault="0072105D" w:rsidP="0072105D">
      <w:pPr>
        <w:pStyle w:val="Title"/>
        <w:jc w:val="center"/>
      </w:pPr>
      <w:r>
        <w:t>M</w:t>
      </w:r>
      <w:r w:rsidR="00447DF0">
        <w:t>ethods</w:t>
      </w:r>
      <w:r>
        <w:t xml:space="preserve"> - </w:t>
      </w:r>
      <w:r w:rsidR="00447DF0">
        <w:t>experimental design</w:t>
      </w:r>
    </w:p>
    <w:p w14:paraId="48C3503E" w14:textId="74AAA0F5" w:rsidR="009759D5" w:rsidRPr="009759D5" w:rsidRDefault="009759D5" w:rsidP="009759D5">
      <w:r>
        <w:rPr>
          <w:noProof/>
        </w:rPr>
        <w:drawing>
          <wp:inline distT="0" distB="0" distL="0" distR="0" wp14:anchorId="50EDBC15" wp14:editId="1E9E3ACE">
            <wp:extent cx="5731510" cy="1821180"/>
            <wp:effectExtent l="19050" t="19050" r="21590" b="266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2118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75090AEA" w14:textId="29B1EC87" w:rsidR="00FA595E" w:rsidRPr="00FA595E" w:rsidRDefault="00FA595E" w:rsidP="00FA595E"/>
    <w:p w14:paraId="76F4AE7D" w14:textId="7029AB8A" w:rsidR="00447DF0" w:rsidRDefault="00447DF0"/>
    <w:p w14:paraId="09A6C3D3" w14:textId="02EB53A1" w:rsidR="0072105D" w:rsidRDefault="00DF3A14" w:rsidP="00DF3A14">
      <w:pPr>
        <w:pStyle w:val="ListParagraph"/>
        <w:numPr>
          <w:ilvl w:val="0"/>
          <w:numId w:val="1"/>
        </w:numPr>
      </w:pPr>
      <w:r>
        <w:t>Control group experimental design</w:t>
      </w:r>
    </w:p>
    <w:p w14:paraId="18F3F1FA" w14:textId="2391D817" w:rsidR="00DF3A14" w:rsidRDefault="00434EE8" w:rsidP="00DF3A14">
      <w:pPr>
        <w:pStyle w:val="ListParagraph"/>
        <w:numPr>
          <w:ilvl w:val="0"/>
          <w:numId w:val="1"/>
        </w:numPr>
      </w:pPr>
      <w:r>
        <w:t>Info about the animal models</w:t>
      </w:r>
    </w:p>
    <w:p w14:paraId="2D1BB6B5" w14:textId="546818E8" w:rsidR="00434EE8" w:rsidRDefault="008C4617" w:rsidP="00DF3A14">
      <w:pPr>
        <w:pStyle w:val="ListParagraph"/>
        <w:numPr>
          <w:ilvl w:val="0"/>
          <w:numId w:val="1"/>
        </w:numPr>
      </w:pPr>
      <w:r>
        <w:t xml:space="preserve">Number – </w:t>
      </w:r>
      <w:r w:rsidR="006E7BA7">
        <w:t>40</w:t>
      </w:r>
      <w:r>
        <w:t xml:space="preserve"> mice altogether </w:t>
      </w:r>
      <w:r w:rsidR="006E7BA7">
        <w:t>(10 mice each)</w:t>
      </w:r>
    </w:p>
    <w:p w14:paraId="46681FF4" w14:textId="4798EDEE" w:rsidR="008C4617" w:rsidRDefault="008C4617" w:rsidP="00DF3A14">
      <w:pPr>
        <w:pStyle w:val="ListParagraph"/>
        <w:numPr>
          <w:ilvl w:val="0"/>
          <w:numId w:val="1"/>
        </w:numPr>
      </w:pPr>
      <w:r>
        <w:t>Sex – male mice</w:t>
      </w:r>
    </w:p>
    <w:p w14:paraId="50ECAE3C" w14:textId="70B84CFE" w:rsidR="008C4617" w:rsidRDefault="007B6327" w:rsidP="00DF3A14">
      <w:pPr>
        <w:pStyle w:val="ListParagraph"/>
        <w:numPr>
          <w:ilvl w:val="0"/>
          <w:numId w:val="1"/>
        </w:numPr>
      </w:pPr>
      <w:r>
        <w:t>Balanced group</w:t>
      </w:r>
      <w:r w:rsidR="00752CF3">
        <w:t>s based</w:t>
      </w:r>
    </w:p>
    <w:p w14:paraId="4CE96F29" w14:textId="26E10126" w:rsidR="00481C2A" w:rsidRDefault="00B967B0" w:rsidP="00DF3A14">
      <w:pPr>
        <w:pStyle w:val="ListParagraph"/>
        <w:numPr>
          <w:ilvl w:val="0"/>
          <w:numId w:val="1"/>
        </w:numPr>
      </w:pPr>
      <w:r>
        <w:t>6-8</w:t>
      </w:r>
      <w:r w:rsidR="00C35822">
        <w:t xml:space="preserve"> day</w:t>
      </w:r>
      <w:r>
        <w:t>s</w:t>
      </w:r>
      <w:r w:rsidR="00C35822">
        <w:t xml:space="preserve"> follow up</w:t>
      </w:r>
    </w:p>
    <w:p w14:paraId="3B124BC3" w14:textId="3DCD50DB" w:rsidR="00C35822" w:rsidRDefault="001D7D03" w:rsidP="00DF3A14">
      <w:pPr>
        <w:pStyle w:val="ListParagraph"/>
        <w:numPr>
          <w:ilvl w:val="0"/>
          <w:numId w:val="1"/>
        </w:numPr>
      </w:pPr>
      <w:r>
        <w:t xml:space="preserve">Percentage area </w:t>
      </w:r>
      <w:r w:rsidR="0064380D">
        <w:t xml:space="preserve">calculation </w:t>
      </w:r>
      <w:r w:rsidR="00FF1BF1">
        <w:t>– quantifying data from IHC</w:t>
      </w:r>
    </w:p>
    <w:p w14:paraId="08A3BD59" w14:textId="339F3185" w:rsidR="00205A91" w:rsidRDefault="00205A91" w:rsidP="00205A91"/>
    <w:p w14:paraId="7D3B9334" w14:textId="61FAA34D" w:rsidR="00205A91" w:rsidRDefault="00205A91" w:rsidP="00205A91">
      <w:r>
        <w:t xml:space="preserve">Negative control </w:t>
      </w:r>
      <w:r w:rsidR="00B107B9">
        <w:t>– no primary antibody</w:t>
      </w:r>
      <w:r w:rsidR="009216F1">
        <w:t xml:space="preserve"> </w:t>
      </w:r>
      <w:r w:rsidR="00426DD7">
        <w:t xml:space="preserve">(just add the </w:t>
      </w:r>
      <w:r w:rsidR="00954471">
        <w:t>secondary antibody)</w:t>
      </w:r>
      <w:r w:rsidR="00B107B9">
        <w:t xml:space="preserve"> in IHC – should have no staining </w:t>
      </w:r>
    </w:p>
    <w:p w14:paraId="0C4A6A7F" w14:textId="65FBEEDE" w:rsidR="00426DD7" w:rsidRDefault="00954471" w:rsidP="00205A91">
      <w:r>
        <w:t>(</w:t>
      </w:r>
      <w:r w:rsidR="00426DD7">
        <w:t>Secondary</w:t>
      </w:r>
      <w:r>
        <w:t xml:space="preserve"> negative control – just add the primary antibody)</w:t>
      </w:r>
    </w:p>
    <w:p w14:paraId="0D07A4D3" w14:textId="794AF4E3" w:rsidR="00CB46AF" w:rsidRDefault="00CB46AF" w:rsidP="00205A91"/>
    <w:p w14:paraId="4BA1982F" w14:textId="1F0CBAA8" w:rsidR="00CB46AF" w:rsidRDefault="00CB46AF" w:rsidP="00CB46AF">
      <w:pPr>
        <w:pStyle w:val="ListParagraph"/>
        <w:numPr>
          <w:ilvl w:val="0"/>
          <w:numId w:val="1"/>
        </w:numPr>
      </w:pPr>
      <w:r>
        <w:t xml:space="preserve">Do the staining and </w:t>
      </w:r>
      <w:proofErr w:type="spellStart"/>
      <w:proofErr w:type="gramStart"/>
      <w:r>
        <w:t>unblind..</w:t>
      </w:r>
      <w:proofErr w:type="gramEnd"/>
      <w:r>
        <w:t>blinded</w:t>
      </w:r>
      <w:proofErr w:type="spellEnd"/>
      <w:r>
        <w:t xml:space="preserve"> up to that point  -</w:t>
      </w:r>
      <w:r w:rsidR="000D7629">
        <w:t xml:space="preserve"> </w:t>
      </w:r>
      <w:r>
        <w:t>avoiding biases</w:t>
      </w:r>
    </w:p>
    <w:p w14:paraId="466181F1" w14:textId="58A056A1" w:rsidR="00BA2D5E" w:rsidRDefault="00BA2D5E" w:rsidP="00BA2D5E"/>
    <w:p w14:paraId="4C79D41D" w14:textId="5FAA2F8A" w:rsidR="00BA2D5E" w:rsidRDefault="00BA2D5E" w:rsidP="00BA2D5E"/>
    <w:p w14:paraId="1EEE9B20" w14:textId="42C1D3DF" w:rsidR="00BA2D5E" w:rsidRDefault="00BA2D5E" w:rsidP="00BA2D5E"/>
    <w:p w14:paraId="083F20A0" w14:textId="77777777" w:rsidR="009759D5" w:rsidRDefault="009759D5" w:rsidP="00BA2D5E"/>
    <w:p w14:paraId="5EE74C83" w14:textId="77777777" w:rsidR="009759D5" w:rsidRDefault="009759D5" w:rsidP="00BA2D5E"/>
    <w:p w14:paraId="429DABBD" w14:textId="77777777" w:rsidR="009759D5" w:rsidRDefault="009759D5" w:rsidP="00BA2D5E"/>
    <w:p w14:paraId="163B69A5" w14:textId="77777777" w:rsidR="0006349D" w:rsidRDefault="0006349D" w:rsidP="00BA2D5E">
      <w:pPr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790FBA4" wp14:editId="072D492B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903720" cy="3883660"/>
            <wp:effectExtent l="19050" t="19050" r="11430" b="2159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BS3IRP - research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284" cy="38836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E9E329" w14:textId="1BB5D59C" w:rsidR="00BA2D5E" w:rsidRDefault="007D4E91" w:rsidP="00BA2D5E">
      <w:r>
        <w:t xml:space="preserve">We will be conducting a </w:t>
      </w:r>
      <w:r w:rsidR="008556F3">
        <w:t xml:space="preserve">control, </w:t>
      </w:r>
      <w:r w:rsidR="007E43F2">
        <w:t xml:space="preserve">balanced </w:t>
      </w:r>
      <w:r w:rsidR="0055162A">
        <w:t xml:space="preserve">group-based experiment using </w:t>
      </w:r>
      <w:r w:rsidR="00A051CD">
        <w:t xml:space="preserve">healthy </w:t>
      </w:r>
      <w:r w:rsidR="0055162A">
        <w:t xml:space="preserve">male mouse models. </w:t>
      </w:r>
      <w:r w:rsidR="00670D01">
        <w:t xml:space="preserve">All animal procedures of our experiment </w:t>
      </w:r>
      <w:r w:rsidR="0086272D">
        <w:t>are</w:t>
      </w:r>
      <w:r w:rsidR="00670D01">
        <w:t xml:space="preserve"> approved by the La Trobe Animal </w:t>
      </w:r>
      <w:r w:rsidR="0034749A">
        <w:t>Ethics Committee (</w:t>
      </w:r>
      <w:r w:rsidR="009B3A7D">
        <w:t xml:space="preserve">AEC 16-93). </w:t>
      </w:r>
    </w:p>
    <w:p w14:paraId="6D2F8194" w14:textId="447E3494" w:rsidR="004E2920" w:rsidRDefault="005E1453" w:rsidP="00D71F20">
      <w:r>
        <w:t>20 wild type mice and 10 genetically modified (IL-18 knocked out)</w:t>
      </w:r>
      <w:r w:rsidR="00B80B41">
        <w:t xml:space="preserve"> </w:t>
      </w:r>
      <w:r w:rsidR="001808AB">
        <w:t xml:space="preserve">mice acquired were bred-in captivity at La Trobe </w:t>
      </w:r>
      <w:r w:rsidR="00CE0816">
        <w:t xml:space="preserve">Animal Research Training Facility. </w:t>
      </w:r>
    </w:p>
    <w:p w14:paraId="38B3E2EA" w14:textId="5331619D" w:rsidR="00D8729D" w:rsidRDefault="00D8729D" w:rsidP="00D71F20">
      <w:r>
        <w:t xml:space="preserve">In order to proceed with our experiment, we need to induce AAA in our mouse models. </w:t>
      </w:r>
    </w:p>
    <w:p w14:paraId="1334CCF1" w14:textId="77777777" w:rsidR="0045312B" w:rsidRDefault="001F55D6" w:rsidP="00D71F20">
      <w:r>
        <w:t>There are 3 common</w:t>
      </w:r>
      <w:r w:rsidR="00312B85">
        <w:t xml:space="preserve"> ways to induce AAA in mouse models.</w:t>
      </w:r>
      <w:r w:rsidR="005C4867">
        <w:t xml:space="preserve"> Through</w:t>
      </w:r>
      <w:r w:rsidR="00161E29">
        <w:t xml:space="preserve"> either </w:t>
      </w:r>
      <w:r w:rsidR="005C4867">
        <w:t xml:space="preserve">adventitial exposure to calcium chloride, </w:t>
      </w:r>
      <w:r w:rsidR="00DC50A2">
        <w:t>transient perfusion of elastase into the infrarenal aorta</w:t>
      </w:r>
      <w:r w:rsidR="00161E29">
        <w:t xml:space="preserve"> or</w:t>
      </w:r>
      <w:r w:rsidR="009E13C3">
        <w:t xml:space="preserve"> through</w:t>
      </w:r>
      <w:r w:rsidR="00161E29">
        <w:t xml:space="preserve"> chronic subcutaneous </w:t>
      </w:r>
      <w:r w:rsidR="009E13C3">
        <w:t>infusion of Ang II</w:t>
      </w:r>
      <w:r w:rsidR="00034FB5">
        <w:t xml:space="preserve"> </w:t>
      </w:r>
      <w:r w:rsidR="005B2769">
        <w:t>(</w:t>
      </w:r>
      <w:r w:rsidR="00DB22EB">
        <w:t>Davis et al., 2019</w:t>
      </w:r>
      <w:r w:rsidR="00034FB5">
        <w:t>;</w:t>
      </w:r>
      <w:r w:rsidR="00DA321F">
        <w:t xml:space="preserve"> Lu et al., 2017)</w:t>
      </w:r>
      <w:r w:rsidR="009E13C3">
        <w:t xml:space="preserve">. </w:t>
      </w:r>
    </w:p>
    <w:p w14:paraId="1E5E5EEB" w14:textId="7200C234" w:rsidR="001F55D6" w:rsidRDefault="0041215E" w:rsidP="00D71F20">
      <w:r>
        <w:t>We will be using the Ang-II method.</w:t>
      </w:r>
    </w:p>
    <w:p w14:paraId="2F138A06" w14:textId="60D4D54E" w:rsidR="00A90192" w:rsidRDefault="0007280D" w:rsidP="001066CA">
      <w:r>
        <w:t>M</w:t>
      </w:r>
      <w:r w:rsidR="00B80B41">
        <w:t xml:space="preserve">ice will be </w:t>
      </w:r>
      <w:r w:rsidR="00190BA6">
        <w:t xml:space="preserve">anaesthetized </w:t>
      </w:r>
      <w:r w:rsidR="001066CA">
        <w:t>and</w:t>
      </w:r>
      <w:r>
        <w:t xml:space="preserve"> 10 transgenic mice and 10 of 20 WT will be</w:t>
      </w:r>
      <w:r w:rsidR="001066CA">
        <w:t xml:space="preserve"> implanted with a subcutaneous osmotic minipump</w:t>
      </w:r>
      <w:r w:rsidR="00190BA6">
        <w:t xml:space="preserve"> </w:t>
      </w:r>
      <w:r w:rsidR="000675EA" w:rsidRPr="000675EA">
        <w:t>containing Ang</w:t>
      </w:r>
      <w:r w:rsidR="000675EA">
        <w:t>-II</w:t>
      </w:r>
      <w:r w:rsidR="00B80B41">
        <w:t>(</w:t>
      </w:r>
      <w:r w:rsidR="007A7B67">
        <w:t>1.44</w:t>
      </w:r>
      <w:r w:rsidR="00B80B41">
        <w:t>mg/kg)</w:t>
      </w:r>
      <w:r w:rsidR="000B24D8" w:rsidRPr="000B24D8">
        <w:t xml:space="preserve"> (</w:t>
      </w:r>
      <w:proofErr w:type="spellStart"/>
      <w:r w:rsidR="000B24D8" w:rsidRPr="000B24D8">
        <w:t>Alzet</w:t>
      </w:r>
      <w:proofErr w:type="spellEnd"/>
      <w:r w:rsidR="000B24D8" w:rsidRPr="000B24D8">
        <w:t xml:space="preserve"> model 2004, USA)</w:t>
      </w:r>
      <w:r w:rsidR="0062147C">
        <w:t>. And they will be infused with Ang-II</w:t>
      </w:r>
      <w:r w:rsidR="007A7B67">
        <w:t xml:space="preserve"> </w:t>
      </w:r>
      <w:r w:rsidR="00B80B41">
        <w:t>over a period of 28 days in order to induce hypertension and therefore, make them prone to AAA.</w:t>
      </w:r>
      <w:r w:rsidR="00D71F20">
        <w:t xml:space="preserve"> </w:t>
      </w:r>
    </w:p>
    <w:p w14:paraId="3CB9A891" w14:textId="398499F8" w:rsidR="00A90192" w:rsidRDefault="00D71F20" w:rsidP="001066CA">
      <w:r>
        <w:t xml:space="preserve">The rest will be </w:t>
      </w:r>
      <w:r w:rsidR="007D1E0D">
        <w:t xml:space="preserve">implanted with a subcutaneous osmotic minipump </w:t>
      </w:r>
      <w:r w:rsidR="007D1E0D" w:rsidRPr="000675EA">
        <w:t>containing</w:t>
      </w:r>
      <w:r>
        <w:t xml:space="preserve"> 0.9% saline</w:t>
      </w:r>
      <w:r w:rsidR="007D1E0D">
        <w:t xml:space="preserve">. </w:t>
      </w:r>
    </w:p>
    <w:p w14:paraId="07657ADB" w14:textId="2C027390" w:rsidR="0007280D" w:rsidRDefault="005E6A6A" w:rsidP="001066CA">
      <w:r>
        <w:t xml:space="preserve">Following the treatment period, all 30 mice will be </w:t>
      </w:r>
      <w:r w:rsidR="00092164">
        <w:t xml:space="preserve">closely </w:t>
      </w:r>
      <w:r>
        <w:t xml:space="preserve">examined for </w:t>
      </w:r>
      <w:r w:rsidR="00092164">
        <w:t>eight days</w:t>
      </w:r>
      <w:r w:rsidR="006D3F14">
        <w:t xml:space="preserve">. </w:t>
      </w:r>
      <w:r w:rsidR="000C4983">
        <w:t xml:space="preserve">Mice will be </w:t>
      </w:r>
      <w:r w:rsidR="00B02AFE">
        <w:t xml:space="preserve">housed </w:t>
      </w:r>
      <w:r w:rsidR="006F0699">
        <w:t>individually</w:t>
      </w:r>
      <w:r w:rsidR="000C4983">
        <w:t xml:space="preserve"> </w:t>
      </w:r>
      <w:r w:rsidR="00433348">
        <w:t xml:space="preserve">in </w:t>
      </w:r>
      <w:r w:rsidR="000C4983">
        <w:t xml:space="preserve">ventilated chambers with </w:t>
      </w:r>
      <w:r w:rsidR="006F0699">
        <w:t xml:space="preserve">free access to </w:t>
      </w:r>
      <w:r w:rsidR="00F07FB5">
        <w:t>regular chow and water.</w:t>
      </w:r>
    </w:p>
    <w:p w14:paraId="4005F0B1" w14:textId="3675D2EC" w:rsidR="00D71F20" w:rsidRDefault="00773E52" w:rsidP="00916657">
      <w:r>
        <w:t xml:space="preserve">At the end of the in vivo treatment period, </w:t>
      </w:r>
      <w:r w:rsidR="000F4D83">
        <w:t xml:space="preserve">all WT and transgenic mice will be </w:t>
      </w:r>
      <w:r w:rsidR="00ED6719">
        <w:t xml:space="preserve">killed </w:t>
      </w:r>
      <w:r w:rsidR="0045312B">
        <w:t xml:space="preserve">through </w:t>
      </w:r>
      <w:r w:rsidR="00B625BD">
        <w:t>CO2 asphyxiation</w:t>
      </w:r>
      <w:r w:rsidR="001B1159">
        <w:t xml:space="preserve"> </w:t>
      </w:r>
      <w:r w:rsidR="00084815">
        <w:t xml:space="preserve">and their abdominal aortas </w:t>
      </w:r>
      <w:r w:rsidR="00486E00">
        <w:t xml:space="preserve">will be </w:t>
      </w:r>
      <w:r w:rsidR="006453B4">
        <w:t xml:space="preserve">freshly </w:t>
      </w:r>
      <w:r w:rsidR="00486E00">
        <w:t xml:space="preserve">harvested </w:t>
      </w:r>
      <w:r w:rsidR="0020086C">
        <w:t>and s</w:t>
      </w:r>
      <w:r w:rsidR="00B83CB3">
        <w:t>nap</w:t>
      </w:r>
      <w:r w:rsidR="0020086C">
        <w:t xml:space="preserve"> frozen in</w:t>
      </w:r>
      <w:r w:rsidR="00EB42B8">
        <w:t xml:space="preserve"> </w:t>
      </w:r>
      <w:r w:rsidR="00EB42B8" w:rsidRPr="00EB42B8">
        <w:t>Tissue-Tek® O.C.T</w:t>
      </w:r>
      <w:r w:rsidR="00916657">
        <w:t xml:space="preserve"> (Sakura </w:t>
      </w:r>
      <w:proofErr w:type="spellStart"/>
      <w:r w:rsidR="00916657">
        <w:t>Finetek</w:t>
      </w:r>
      <w:proofErr w:type="spellEnd"/>
      <w:r w:rsidR="00916657">
        <w:t>, Japan)</w:t>
      </w:r>
      <w:r w:rsidR="0020086C">
        <w:t xml:space="preserve"> </w:t>
      </w:r>
      <w:r w:rsidR="00486E00">
        <w:t xml:space="preserve">in order to </w:t>
      </w:r>
      <w:r w:rsidR="00282FA7">
        <w:t>perform</w:t>
      </w:r>
      <w:r w:rsidR="00486E00">
        <w:t xml:space="preserve"> immunofluorescence </w:t>
      </w:r>
      <w:r w:rsidR="00282FA7">
        <w:t xml:space="preserve">on their cross sections. </w:t>
      </w:r>
    </w:p>
    <w:p w14:paraId="612983D2" w14:textId="3C3048C8" w:rsidR="00F52CB7" w:rsidRDefault="00F52CB7" w:rsidP="00916657">
      <w:r>
        <w:lastRenderedPageBreak/>
        <w:t xml:space="preserve">Results from immunofluorescence will be </w:t>
      </w:r>
      <w:r w:rsidR="007D52A0">
        <w:t>used to determine the degree of macrophage infiltration in each group of mouse models</w:t>
      </w:r>
      <w:r w:rsidR="00031181">
        <w:t>.</w:t>
      </w:r>
    </w:p>
    <w:p w14:paraId="0F15DE9C" w14:textId="5509C157" w:rsidR="00595AD1" w:rsidRDefault="00595AD1" w:rsidP="00D71F20"/>
    <w:p w14:paraId="320D5BBC" w14:textId="1971F7E3" w:rsidR="00A92348" w:rsidRDefault="00FF6B89" w:rsidP="00D71F20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Lu, H., &amp; Daugherty, A. (2017). Aortic aneurysms.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Arteriosclerosis, thrombosis, and vascular biology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(6), e59-e65.</w:t>
      </w:r>
    </w:p>
    <w:p w14:paraId="443F8526" w14:textId="362E837C" w:rsidR="00FF6B89" w:rsidRDefault="00193EDF" w:rsidP="00D71F20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Davis, F. M., Daugherty, A., &amp; Lu, H. S. (2019). Updates of Recent Aortic Aneurysm Research.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Arteriosclerosis, thrombosis, and vascular biology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e83-e90.</w:t>
      </w:r>
    </w:p>
    <w:p w14:paraId="283A55DC" w14:textId="77777777" w:rsidR="0055162A" w:rsidRDefault="0055162A" w:rsidP="00BA2D5E"/>
    <w:p w14:paraId="1EFBA75A" w14:textId="0C244B44" w:rsidR="00B107B9" w:rsidRPr="00AB6E38" w:rsidRDefault="00B9108C" w:rsidP="00205A91">
      <w:pPr>
        <w:rPr>
          <w:u w:val="single"/>
        </w:rPr>
      </w:pPr>
      <w:r w:rsidRPr="00AB6E38">
        <w:rPr>
          <w:u w:val="single"/>
        </w:rPr>
        <w:t xml:space="preserve">Questions </w:t>
      </w:r>
    </w:p>
    <w:p w14:paraId="67683589" w14:textId="047D0602" w:rsidR="00CF4C44" w:rsidRDefault="00CF4C44" w:rsidP="00205A91">
      <w:r>
        <w:t>Exact number of mice – 6/7/8???</w:t>
      </w:r>
    </w:p>
    <w:p w14:paraId="7082B17E" w14:textId="0068C614" w:rsidR="00B9108C" w:rsidRDefault="009820DD" w:rsidP="00205A91">
      <w:r>
        <w:t>Transgenic mice - Gene that codes for IL-18 knocked out?</w:t>
      </w:r>
    </w:p>
    <w:p w14:paraId="4E83A457" w14:textId="6AE9CCEC" w:rsidR="009820DD" w:rsidRDefault="007045C6" w:rsidP="00205A91">
      <w:r>
        <w:t>Ang II su</w:t>
      </w:r>
      <w:r w:rsidR="008E601C">
        <w:t xml:space="preserve">bcutaneous infusion? </w:t>
      </w:r>
    </w:p>
    <w:p w14:paraId="26677405" w14:textId="4AC0FF5A" w:rsidR="008E601C" w:rsidRDefault="00B9473B" w:rsidP="00205A91">
      <w:r>
        <w:t xml:space="preserve">Saline will be given over the same </w:t>
      </w:r>
      <w:proofErr w:type="gramStart"/>
      <w:r>
        <w:t>period of time</w:t>
      </w:r>
      <w:proofErr w:type="gramEnd"/>
      <w:r>
        <w:t>?</w:t>
      </w:r>
    </w:p>
    <w:p w14:paraId="69110A51" w14:textId="5FAB39E6" w:rsidR="00105A7A" w:rsidRDefault="00105A7A" w:rsidP="00205A91">
      <w:r>
        <w:t xml:space="preserve">How are these mice killed? </w:t>
      </w:r>
      <w:r w:rsidR="001411EB">
        <w:t>Isoflurane</w:t>
      </w:r>
      <w:r>
        <w:t xml:space="preserve"> </w:t>
      </w:r>
      <w:r w:rsidR="001411EB">
        <w:t>inhalation</w:t>
      </w:r>
      <w:r w:rsidR="00095805">
        <w:t xml:space="preserve"> overdose</w:t>
      </w:r>
      <w:r w:rsidR="001411EB">
        <w:t>?</w:t>
      </w:r>
    </w:p>
    <w:p w14:paraId="46D914C8" w14:textId="664C14D9" w:rsidR="008506FE" w:rsidRDefault="008506FE" w:rsidP="00205A91">
      <w:r>
        <w:t>Animal housing condition</w:t>
      </w:r>
      <w:r w:rsidR="004D7210">
        <w:t>s including diet?</w:t>
      </w:r>
    </w:p>
    <w:p w14:paraId="5AEB8572" w14:textId="0FC8B0D6" w:rsidR="004D7210" w:rsidRDefault="004D7210" w:rsidP="00205A91">
      <w:r>
        <w:t>Weight of the animals?</w:t>
      </w:r>
    </w:p>
    <w:p w14:paraId="2134B9B7" w14:textId="78ECC447" w:rsidR="004D7210" w:rsidRDefault="004D7210" w:rsidP="00205A91">
      <w:r>
        <w:t>What is the dose of Ang-II</w:t>
      </w:r>
      <w:r w:rsidR="00E56A4B">
        <w:t xml:space="preserve"> (0.7 mg/kg) and saline 0.9</w:t>
      </w:r>
      <w:r w:rsidR="00217AAE">
        <w:t>%</w:t>
      </w:r>
      <w:r>
        <w:t xml:space="preserve">? And why? References? </w:t>
      </w:r>
    </w:p>
    <w:p w14:paraId="2E32CD82" w14:textId="2D1D7AD6" w:rsidR="00336FC0" w:rsidRDefault="00A2177A" w:rsidP="00205A91">
      <w:r>
        <w:t>Why do we choose the Ang-II infused mice (</w:t>
      </w:r>
      <w:r w:rsidR="00DD4DB3">
        <w:t xml:space="preserve">out of other sorts of mouse </w:t>
      </w:r>
      <w:r w:rsidR="00250224">
        <w:t xml:space="preserve">AAA </w:t>
      </w:r>
      <w:r w:rsidR="00DD4DB3">
        <w:t xml:space="preserve">models – elastase </w:t>
      </w:r>
      <w:r w:rsidR="00DD132A">
        <w:t>infused, and calcium chloride infused)</w:t>
      </w:r>
    </w:p>
    <w:p w14:paraId="20C11B8D" w14:textId="77777777" w:rsidR="00DD132A" w:rsidRDefault="00DD132A" w:rsidP="00205A91"/>
    <w:p w14:paraId="2AA0C00B" w14:textId="77777777" w:rsidR="00ED52B4" w:rsidRDefault="00ED52B4" w:rsidP="00ED52B4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Lu, H., &amp; Daugherty, A. (2017). Aortic aneurysms.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Arteriosclerosis, thrombosis, and vascular biology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37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(6), e59-e65.</w:t>
      </w:r>
    </w:p>
    <w:p w14:paraId="74FDD1A3" w14:textId="73F438F0" w:rsidR="004D7210" w:rsidRDefault="00ED52B4" w:rsidP="00ED52B4"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Davis, F. M., Daugherty, A., &amp; Lu, H. S. (2019). Updates of Recent Aortic Aneurysm Research.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Arteriosclerosis, thrombosis, and vascular biology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 </w:t>
      </w:r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39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(3), e83-e90.</w:t>
      </w:r>
    </w:p>
    <w:p w14:paraId="23F1D79C" w14:textId="52A5DAA6" w:rsidR="009820DD" w:rsidRDefault="009820DD" w:rsidP="00205A91"/>
    <w:p w14:paraId="3FC2016C" w14:textId="10BD7463" w:rsidR="00A86986" w:rsidRDefault="00A86986" w:rsidP="00205A91"/>
    <w:p w14:paraId="4F26BFDF" w14:textId="1C9BB9E9" w:rsidR="00A86986" w:rsidRDefault="00A86986" w:rsidP="00205A91"/>
    <w:p w14:paraId="04E6F8B1" w14:textId="77777777" w:rsidR="00A86986" w:rsidRDefault="00A86986" w:rsidP="00A86986">
      <w:pPr>
        <w:rPr>
          <w:b/>
        </w:rPr>
      </w:pPr>
      <w:r w:rsidRPr="003B300F">
        <w:rPr>
          <w:b/>
        </w:rPr>
        <w:t>Figure 1. Representation of macrophage infiltration in blood vessel adventitia of each type of mouse models.</w:t>
      </w:r>
      <w:r>
        <w:rPr>
          <w:b/>
        </w:rPr>
        <w:t xml:space="preserve"> </w:t>
      </w:r>
      <w:r>
        <w:t xml:space="preserve">Immunofluorescence staining of the aortic cross sections of Ang II treated (A) IL-18 KO mice and (B) WT mice versus saline treated (C) WT mice. Green embodies the elastin layer in vessel walls whereas orange represents the macrophages infiltrating the vessel walls.  </w:t>
      </w:r>
    </w:p>
    <w:p w14:paraId="2BDF53BA" w14:textId="77777777" w:rsidR="00A86986" w:rsidRPr="000363F4" w:rsidRDefault="00A86986" w:rsidP="00A86986">
      <w:r>
        <w:rPr>
          <w:b/>
        </w:rPr>
        <w:t xml:space="preserve">Figure 2. A comparison between macrophage infiltration in vessel walls of each type of mouse models. </w:t>
      </w:r>
      <w:r>
        <w:t xml:space="preserve">The data is represented as aortic cross sections of (A) all WT mice versus IL-18 KO mice (B) WT mice with no AAA versus IL-18 KO mice and (C) WT mice with developed AAA mice versus IL-18 KO mice. The data are presented as mean </w:t>
      </w:r>
      <w:r>
        <w:rPr>
          <w:rFonts w:cstheme="minorHAnsi"/>
        </w:rPr>
        <w:t>±</w:t>
      </w:r>
      <w:r>
        <w:t xml:space="preserve"> SD (n &gt; 4). *Significant difference, p &lt; 0.05</w:t>
      </w:r>
    </w:p>
    <w:p w14:paraId="1D37E8B4" w14:textId="77777777" w:rsidR="00A86986" w:rsidRDefault="00A86986" w:rsidP="00205A91">
      <w:bookmarkStart w:id="0" w:name="_GoBack"/>
      <w:bookmarkEnd w:id="0"/>
    </w:p>
    <w:sectPr w:rsidR="00A86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EA3A44"/>
    <w:multiLevelType w:val="hybridMultilevel"/>
    <w:tmpl w:val="205A7C3E"/>
    <w:lvl w:ilvl="0" w:tplc="E8EA0A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F0"/>
    <w:rsid w:val="000176B6"/>
    <w:rsid w:val="000232BD"/>
    <w:rsid w:val="00031181"/>
    <w:rsid w:val="00034FB5"/>
    <w:rsid w:val="0006349D"/>
    <w:rsid w:val="000675EA"/>
    <w:rsid w:val="0007280D"/>
    <w:rsid w:val="00084815"/>
    <w:rsid w:val="00092164"/>
    <w:rsid w:val="00095805"/>
    <w:rsid w:val="000B24D8"/>
    <w:rsid w:val="000B5994"/>
    <w:rsid w:val="000C4983"/>
    <w:rsid w:val="000D7629"/>
    <w:rsid w:val="000F4D83"/>
    <w:rsid w:val="00105A7A"/>
    <w:rsid w:val="001066CA"/>
    <w:rsid w:val="00114DD2"/>
    <w:rsid w:val="001411EB"/>
    <w:rsid w:val="00161E29"/>
    <w:rsid w:val="001808AB"/>
    <w:rsid w:val="00190BA6"/>
    <w:rsid w:val="00193EDF"/>
    <w:rsid w:val="001A37BD"/>
    <w:rsid w:val="001A7490"/>
    <w:rsid w:val="001B1159"/>
    <w:rsid w:val="001D7D03"/>
    <w:rsid w:val="001F55D6"/>
    <w:rsid w:val="0020086C"/>
    <w:rsid w:val="00205A91"/>
    <w:rsid w:val="00217AAE"/>
    <w:rsid w:val="002437A6"/>
    <w:rsid w:val="00250224"/>
    <w:rsid w:val="00282FA7"/>
    <w:rsid w:val="00312B85"/>
    <w:rsid w:val="00336FC0"/>
    <w:rsid w:val="0034749A"/>
    <w:rsid w:val="00354335"/>
    <w:rsid w:val="003B35E4"/>
    <w:rsid w:val="003E08CF"/>
    <w:rsid w:val="0041215E"/>
    <w:rsid w:val="00426DD7"/>
    <w:rsid w:val="00433348"/>
    <w:rsid w:val="00434EE8"/>
    <w:rsid w:val="00445208"/>
    <w:rsid w:val="00447DF0"/>
    <w:rsid w:val="0045312B"/>
    <w:rsid w:val="004627F6"/>
    <w:rsid w:val="00481C2A"/>
    <w:rsid w:val="00486E00"/>
    <w:rsid w:val="004A35C9"/>
    <w:rsid w:val="004D7210"/>
    <w:rsid w:val="004E2920"/>
    <w:rsid w:val="004F37C5"/>
    <w:rsid w:val="00500ED3"/>
    <w:rsid w:val="0055162A"/>
    <w:rsid w:val="005803DA"/>
    <w:rsid w:val="00595AD1"/>
    <w:rsid w:val="005B2769"/>
    <w:rsid w:val="005C2C23"/>
    <w:rsid w:val="005C4867"/>
    <w:rsid w:val="005E1453"/>
    <w:rsid w:val="005E2C27"/>
    <w:rsid w:val="005E6A6A"/>
    <w:rsid w:val="0062147C"/>
    <w:rsid w:val="0064380D"/>
    <w:rsid w:val="006453B4"/>
    <w:rsid w:val="00670D01"/>
    <w:rsid w:val="006D3F14"/>
    <w:rsid w:val="006E2D45"/>
    <w:rsid w:val="006E7BA7"/>
    <w:rsid w:val="006F0699"/>
    <w:rsid w:val="007045C6"/>
    <w:rsid w:val="0072105D"/>
    <w:rsid w:val="00752CF3"/>
    <w:rsid w:val="00773E52"/>
    <w:rsid w:val="007A7B67"/>
    <w:rsid w:val="007B6327"/>
    <w:rsid w:val="007D1E0D"/>
    <w:rsid w:val="007D4E91"/>
    <w:rsid w:val="007D52A0"/>
    <w:rsid w:val="007E43F2"/>
    <w:rsid w:val="00813748"/>
    <w:rsid w:val="00822F6C"/>
    <w:rsid w:val="008506FE"/>
    <w:rsid w:val="008546E8"/>
    <w:rsid w:val="008556F3"/>
    <w:rsid w:val="00860756"/>
    <w:rsid w:val="0086272D"/>
    <w:rsid w:val="008C4617"/>
    <w:rsid w:val="008C773C"/>
    <w:rsid w:val="008E601C"/>
    <w:rsid w:val="008E71A7"/>
    <w:rsid w:val="00916657"/>
    <w:rsid w:val="009216F1"/>
    <w:rsid w:val="00954471"/>
    <w:rsid w:val="009759D5"/>
    <w:rsid w:val="009820DD"/>
    <w:rsid w:val="009B3A7D"/>
    <w:rsid w:val="009E13C3"/>
    <w:rsid w:val="009E5515"/>
    <w:rsid w:val="00A051CD"/>
    <w:rsid w:val="00A2177A"/>
    <w:rsid w:val="00A77431"/>
    <w:rsid w:val="00A86986"/>
    <w:rsid w:val="00A90192"/>
    <w:rsid w:val="00A92348"/>
    <w:rsid w:val="00AB6E38"/>
    <w:rsid w:val="00AF7F7D"/>
    <w:rsid w:val="00B02AFE"/>
    <w:rsid w:val="00B107B9"/>
    <w:rsid w:val="00B16966"/>
    <w:rsid w:val="00B42F02"/>
    <w:rsid w:val="00B625BD"/>
    <w:rsid w:val="00B80B41"/>
    <w:rsid w:val="00B83CB3"/>
    <w:rsid w:val="00B9108C"/>
    <w:rsid w:val="00B9473B"/>
    <w:rsid w:val="00B959EF"/>
    <w:rsid w:val="00B967B0"/>
    <w:rsid w:val="00BA2D5E"/>
    <w:rsid w:val="00C35822"/>
    <w:rsid w:val="00C90492"/>
    <w:rsid w:val="00C91A10"/>
    <w:rsid w:val="00CB46AF"/>
    <w:rsid w:val="00CE0816"/>
    <w:rsid w:val="00CE4345"/>
    <w:rsid w:val="00CE7738"/>
    <w:rsid w:val="00CF4C44"/>
    <w:rsid w:val="00D11A0D"/>
    <w:rsid w:val="00D6791C"/>
    <w:rsid w:val="00D71F20"/>
    <w:rsid w:val="00D868A7"/>
    <w:rsid w:val="00D8729D"/>
    <w:rsid w:val="00DA321F"/>
    <w:rsid w:val="00DB22EB"/>
    <w:rsid w:val="00DC50A2"/>
    <w:rsid w:val="00DD132A"/>
    <w:rsid w:val="00DD4DB3"/>
    <w:rsid w:val="00DF3A14"/>
    <w:rsid w:val="00E56A4B"/>
    <w:rsid w:val="00EB42B8"/>
    <w:rsid w:val="00ED52B4"/>
    <w:rsid w:val="00ED6719"/>
    <w:rsid w:val="00F07FB5"/>
    <w:rsid w:val="00F52CB7"/>
    <w:rsid w:val="00FA595E"/>
    <w:rsid w:val="00FF1BF1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86069"/>
  <w15:chartTrackingRefBased/>
  <w15:docId w15:val="{AEB08FDF-E486-4391-9237-0A9052BC2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595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59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95E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210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10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DF3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3</Pages>
  <Words>608</Words>
  <Characters>3467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Buddhila Wickramasinghe</dc:creator>
  <cp:keywords/>
  <dc:description/>
  <cp:lastModifiedBy>Buddhila Wickramasinghe</cp:lastModifiedBy>
  <cp:revision>146</cp:revision>
  <dcterms:created xsi:type="dcterms:W3CDTF">2019-08-04T07:25:00Z</dcterms:created>
  <dcterms:modified xsi:type="dcterms:W3CDTF">2019-10-07T02:57:00Z</dcterms:modified>
</cp:coreProperties>
</file>